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left"/>
      </w:pPr>
      <w:r>
        <w:rPr>
          <w:rFonts w:ascii="Arial" w:hAnsi="Arial"/>
          <w:b/>
          <w:color w:val="5A5A5A"/>
          <w:sz w:val="20"/>
        </w:rPr>
        <w:t>MINDCONTENT</w:t>
      </w:r>
    </w:p>
    <w:p>
      <w:pPr>
        <w:pStyle w:val="Title"/>
        <w:spacing w:after="100"/>
      </w:pPr>
      <w:r>
        <w:t>Herkunft prägt Chancen</w:t>
      </w:r>
    </w:p>
    <w:p>
      <w:pPr>
        <w:pStyle w:val="MCSubtitle"/>
        <w:spacing w:after="320"/>
      </w:pPr>
      <w:r>
        <w:t>Die neue PISA-Studie zeigt, wie stark soziale Voraussetzungen den Bildungsweg beeinflussen. Diversität beginnt lange vor dem Klassenzimmer – und entscheidet mit darüber, wer welche Chancen bekommt.</w:t>
      </w:r>
    </w:p>
    <w:p>
      <w:pPr>
        <w:spacing w:after="140" w:line="259" w:lineRule="auto"/>
      </w:pPr>
      <w:r>
        <w:t>Zwei Kinder sitzen am ersten Schultag nebeneinander. Beide sind neugierig. Beide wollen lernen. Und doch starten sie nicht am selben Punkt.</w:t>
      </w:r>
    </w:p>
    <w:p>
      <w:pPr>
        <w:spacing w:after="140" w:line="259" w:lineRule="auto"/>
      </w:pPr>
      <w:r>
        <w:t>Das eine Kind ist mit vielen Büchern aufgewachsen. Die Eltern haben ihm früh vorgelesen, seine Fragen beantwortet und seine Neugier gefördert. Vielleicht hat es ein eigenes Zimmer und Eltern, die das Bildungssystem gut kennen. Das andere wächst unter beengteren Verhältnissen auf. Das Geld ist knapp, vielleicht wird zu Hause vorwiegend eine andere Sprache gesprochen oder die Eltern hatten selbst nur begrenzte Bildungschancen.</w:t>
      </w:r>
    </w:p>
    <w:p>
      <w:pPr>
        <w:spacing w:after="140" w:line="259" w:lineRule="auto"/>
      </w:pPr>
      <w:r>
        <w:t xml:space="preserve">Das sagt zunächst nichts darüber aus, welches Kind begabter ist. Aber es sagt etwas darüber aus, </w:t>
      </w:r>
      <w:r>
        <w:rPr>
          <w:b/>
        </w:rPr>
        <w:t>unter welchen Bedingungen beide ihre Fähigkeiten entwickeln konnten</w:t>
      </w:r>
      <w:r>
        <w:t>.</w:t>
      </w:r>
    </w:p>
    <w:p>
      <w:pPr>
        <w:spacing w:after="140" w:line="259" w:lineRule="auto"/>
      </w:pPr>
      <w:r>
        <w:t>Die neuen Ergebnisse der internationalen PISA-Studie zeigen, wie folgenreich solche unterschiedlichen Ausgangsbedingungen sein können.</w:t>
      </w:r>
    </w:p>
    <w:p>
      <w:pPr>
        <w:pStyle w:val="Heading1"/>
        <w:spacing w:before="200" w:after="120"/>
      </w:pPr>
      <w:r>
        <w:t>Ein Abstand von 125 Punkten</w:t>
      </w:r>
    </w:p>
    <w:p>
      <w:pPr>
        <w:spacing w:after="140" w:line="259" w:lineRule="auto"/>
      </w:pPr>
      <w:r>
        <w:t xml:space="preserve">PISA 2025 untersucht die Kompetenzen 15-jähriger Schülerinnen und Schüler. Für Deutschland fällt ein Befund besonders auf: In den Naturwissenschaften liegen Jugendliche aus dem sozioökonomisch am stärksten begünstigten Viertel durchschnittlich </w:t>
      </w:r>
      <w:r>
        <w:rPr>
          <w:b/>
        </w:rPr>
        <w:t>125 PISA-Punkte</w:t>
      </w:r>
      <w:r>
        <w:t xml:space="preserve"> vor Jugendlichen aus dem am stärksten benachteiligten Viertel. Im OECD-Durchschnitt beträgt der Abstand </w:t>
      </w:r>
      <w:r>
        <w:rPr>
          <w:b/>
        </w:rPr>
        <w:t>85 Punkte</w:t>
      </w:r>
      <w:r>
        <w:t>.</w:t>
      </w:r>
    </w:p>
    <w:p>
      <w:pPr>
        <w:spacing w:after="140" w:line="259" w:lineRule="auto"/>
      </w:pPr>
      <w:r>
        <w:t xml:space="preserve">Und die Kluft ist größer geworden. Zwischen 2015 und 2025 gingen die Leistungen der sozial benachteiligten Jugendlichen zurück, während sie bei den begünstigten Jugendlichen stabil blieben. Der sozioökonomische Status erklärt in Deutschland </w:t>
      </w:r>
      <w:r>
        <w:rPr>
          <w:b/>
        </w:rPr>
        <w:t>19 Prozent</w:t>
      </w:r>
      <w:r>
        <w:t xml:space="preserve"> der Unterschiede in den naturwissenschaftlichen Leistungen, im OECD-Durchschnitt sind es </w:t>
      </w:r>
      <w:r>
        <w:rPr>
          <w:b/>
        </w:rPr>
        <w:t>12 Prozent</w:t>
      </w:r>
      <w:r>
        <w:t>.</w:t>
      </w:r>
    </w:p>
    <w:p>
      <w:pPr>
        <w:spacing w:after="140" w:line="259" w:lineRule="auto"/>
      </w:pPr>
      <w:r>
        <w:t>Das bedeutet nicht, dass Herkunft den Lebensweg eines Kindes vorherbestimmt. PISA beschreibt statistische Zusammenhänge, keine individuellen Schicksale. Aber die Chancen, vorhandene Fähigkeiten zu entwickeln und erfolgreich einzusetzen, sind offensichtlich ungleich verteilt.</w:t>
      </w:r>
    </w:p>
    <w:tbl>
      <w:tblPr>
        <w:tblW w:type="auto" w:w="0"/>
        <w:jc w:val="center"/>
        <w:tblLook w:firstColumn="1" w:firstRow="1" w:lastColumn="0" w:lastRow="0" w:noHBand="0" w:noVBand="1" w:val="04A0"/>
      </w:tblPr>
      <w:tblGrid>
        <w:gridCol w:w="9746"/>
      </w:tblGrid>
      <w:tr>
        <w:tc>
          <w:tcPr>
            <w:tcW w:type="dxa" w:w="9746"/>
            <w:vAlign w:val="center"/>
            <w:shd w:fill="F2F2EE"/>
            <w:tcMar>
              <w:top w:w="160" w:type="dxa"/>
              <w:left w:w="180" w:type="dxa"/>
              <w:bottom w:w="160" w:type="dxa"/>
              <w:right w:w="180" w:type="dxa"/>
            </w:tcMar>
          </w:tcPr>
          <w:p>
            <w:r>
              <w:rPr>
                <w:rFonts w:ascii="Arial" w:hAnsi="Arial"/>
                <w:b/>
                <w:sz w:val="24"/>
              </w:rPr>
              <w:t>Was 125 PISA-Punkte bedeuten</w:t>
            </w:r>
          </w:p>
          <w:p>
            <w:pPr>
              <w:spacing w:after="100"/>
            </w:pPr>
            <w:r>
              <w:t>Die PISA-Punkteskala macht Leistungsunterschiede zwischen Gruppen und über die Zeit vergleichbar.</w:t>
            </w:r>
          </w:p>
          <w:p>
            <w:pPr>
              <w:spacing w:after="100"/>
            </w:pPr>
            <w:r/>
            <w:r>
              <w:rPr>
                <w:b/>
              </w:rPr>
              <w:t>Rund 75 Punkte</w:t>
            </w:r>
            <w:r>
              <w:t xml:space="preserve"> entsprechen in den Naturwissenschaften einer Kompetenzstufe. Eine höhere Kompetenzstufe steht für die Fähigkeit, anspruchsvollere Aufgaben zu lösen und komplexeres Wissen anzuwenden.</w:t>
            </w:r>
          </w:p>
          <w:p>
            <w:pPr>
              <w:spacing w:after="100"/>
            </w:pPr>
            <w:r>
              <w:t xml:space="preserve">Der Abstand von </w:t>
            </w:r>
            <w:r>
              <w:rPr>
                <w:b/>
              </w:rPr>
              <w:t>125 Punkten</w:t>
            </w:r>
            <w:r>
              <w:t xml:space="preserve"> zwischen sozioökonomisch begünstigten und benachteiligten Jugendlichen in Deutschland entspricht damit rechnerisch etwa </w:t>
            </w:r>
            <w:r>
              <w:rPr>
                <w:b/>
              </w:rPr>
              <w:t>1,7 Kompetenzstufen</w:t>
            </w:r>
            <w:r>
              <w:t>.</w:t>
            </w:r>
          </w:p>
          <w:p>
            <w:pPr>
              <w:spacing w:after="100"/>
            </w:pPr>
            <w:r>
              <w:t xml:space="preserve">Zum Vergleich: Im OECD-Durchschnitt beträgt dieser soziale Leistungsabstand </w:t>
            </w:r>
            <w:r>
              <w:rPr>
                <w:b/>
              </w:rPr>
              <w:t>85 Punkte</w:t>
            </w:r>
            <w:r>
              <w:t>.</w:t>
            </w:r>
          </w:p>
          <w:p>
            <w:pPr>
              <w:spacing w:after="100"/>
            </w:pPr>
            <w:r/>
            <w:r>
              <w:rPr>
                <w:b/>
              </w:rPr>
              <w:t>125 Punkte</w:t>
            </w:r>
            <w:r>
              <w:t xml:space="preserve"> sind damit ein erheblicher Unterschied in den durchschnittlich erreichten naturwissenschaftlichen Kompetenzen.</w:t>
            </w:r>
          </w:p>
        </w:tc>
      </w:tr>
    </w:tbl>
    <w:p>
      <w:pPr>
        <w:pStyle w:val="Heading1"/>
        <w:spacing w:before="200" w:after="120"/>
      </w:pPr>
      <w:r>
        <w:t>Ungleichheit beginnt früh</w:t>
      </w:r>
    </w:p>
    <w:p>
      <w:pPr>
        <w:spacing w:after="140" w:line="259" w:lineRule="auto"/>
      </w:pPr>
      <w:r>
        <w:t>Die Unterschiede entstehen nicht erst in der weiterführenden Schule. Der Nationale Bildungsbericht 2026 beschreibt ungleiche Startbedingungen bereits lange vor der Einschulung.</w:t>
      </w:r>
    </w:p>
    <w:p>
      <w:pPr>
        <w:spacing w:after="140" w:line="259" w:lineRule="auto"/>
      </w:pPr>
      <w:r>
        <w:t>Kinder wachsen abhängig von ihrer sozialen Herkunft mit unterschiedlichen materiellen Ressourcen und familiären Lernumgebungen auf. Dazu gehören beispielsweise Bücher und gemeinsame kulturelle Aktivitäten, aber auch Unterschiede in den Eltern-Kind-Interaktionen.</w:t>
      </w:r>
    </w:p>
    <w:p>
      <w:pPr>
        <w:spacing w:after="140" w:line="259" w:lineRule="auto"/>
      </w:pPr>
      <w:r>
        <w:t>Bereits bei Zweijährigen zeigen sich bedeutsame soziale Unterschiede im Wortschatz. Bis zur Einschulung bestehen deutliche Kompetenzunterschiede zwischen Kindern aus Elternhäusern mit unterschiedlichem Bildungsniveau, die im weiteren Schulverlauf vergleichsweise stabil bleiben.</w:t>
      </w:r>
    </w:p>
    <w:p>
      <w:pPr>
        <w:spacing w:after="140" w:line="259" w:lineRule="auto"/>
      </w:pPr>
      <w:r>
        <w:t>Das verändert den Blick auf Bildung: Wenn Kinder mit unterschiedlichen Voraussetzungen in ein Klassenzimmer kommen und anschließend alle gleich behandelt werden, besitzen sie deshalb noch lange nicht die gleichen Chancen.</w:t>
      </w:r>
    </w:p>
    <w:p>
      <w:pPr>
        <w:spacing w:after="140" w:line="259" w:lineRule="auto"/>
      </w:pPr>
      <w:r/>
      <w:r>
        <w:rPr>
          <w:b/>
        </w:rPr>
        <w:t>Gleichbehandlung und Chancengerechtigkeit sind nicht dasselbe.</w:t>
      </w:r>
      <w:r/>
    </w:p>
    <w:p>
      <w:pPr>
        <w:pStyle w:val="Heading1"/>
        <w:spacing w:before="200" w:after="120"/>
      </w:pPr>
      <w:r>
        <w:t>Diversität ist mehr als Herkunft</w:t>
      </w:r>
    </w:p>
    <w:p>
      <w:pPr>
        <w:spacing w:after="140" w:line="259" w:lineRule="auto"/>
      </w:pPr>
      <w:r>
        <w:t>Hier beginnt das eigentliche Thema Diversität.</w:t>
      </w:r>
    </w:p>
    <w:p>
      <w:pPr>
        <w:spacing w:after="140" w:line="259" w:lineRule="auto"/>
      </w:pPr>
      <w:r>
        <w:t>Menschen unterscheiden sich nicht nur durch ihre soziale Herkunft. Geschlecht, körperliche und geistige Voraussetzungen, Sprache, Religion, kulturelle Erfahrungen, sexuelle Orientierung und geschlechtliche Identität können ebenfalls eine Rolle spielen. Hinzu kommen unterschiedliche Familienformen und wirtschaftliche Lebensbedingungen.</w:t>
      </w:r>
    </w:p>
    <w:p>
      <w:pPr>
        <w:spacing w:after="140" w:line="259" w:lineRule="auto"/>
      </w:pPr>
      <w:r>
        <w:t>Dabei gehört jeder Mensch gleichzeitig verschiedenen Gruppen an. Kein einzelnes Merkmal beschreibt ihn vollständig.</w:t>
      </w:r>
    </w:p>
    <w:p>
      <w:pPr>
        <w:spacing w:after="140" w:line="259" w:lineRule="auto"/>
      </w:pPr>
      <w:r>
        <w:t xml:space="preserve">Diversität bedeutet zunächst etwas sehr Einfaches: </w:t>
      </w:r>
      <w:r>
        <w:rPr>
          <w:b/>
        </w:rPr>
        <w:t>Menschen sind verschieden.</w:t>
      </w:r>
      <w:r/>
    </w:p>
    <w:p>
      <w:pPr>
        <w:spacing w:after="140" w:line="259" w:lineRule="auto"/>
      </w:pPr>
      <w:r>
        <w:t>Zum Problem wird Verschiedenheit dort, wo daraus Benachteiligung entsteht.</w:t>
      </w:r>
    </w:p>
    <w:p>
      <w:pPr>
        <w:pStyle w:val="Heading1"/>
        <w:spacing w:before="200" w:after="120"/>
      </w:pPr>
      <w:r>
        <w:t>Wenn Unterschiede zu Nachteilen werden</w:t>
      </w:r>
    </w:p>
    <w:p>
      <w:pPr>
        <w:spacing w:after="140" w:line="259" w:lineRule="auto"/>
      </w:pPr>
      <w:r>
        <w:t>Nicht jede Ungleichheit ist Diskriminierung. Nicht jeder Unterschied führt automatisch zu einem Nachteil.</w:t>
      </w:r>
    </w:p>
    <w:p>
      <w:pPr>
        <w:spacing w:after="140" w:line="259" w:lineRule="auto"/>
      </w:pPr>
      <w:r>
        <w:t>Problematisch wird es, wenn Menschen aufgrund tatsächlicher oder zugeschriebener Merkmale weniger zugetraut wird, ihnen Möglichkeiten verschlossen bleiben oder Strukturen bestimmte Gruppen benachteiligen.</w:t>
      </w:r>
    </w:p>
    <w:p>
      <w:pPr>
        <w:spacing w:after="140" w:line="259" w:lineRule="auto"/>
      </w:pPr>
      <w:r>
        <w:t>Ein Mädchen gilt als technisch weniger begabt. Ein Schüler mit schlechten Deutschkenntnissen wird auch in Mathematik unterschätzt. Einem Kind aus einer sozial benachteiligten Familie wird das Gymnasium nicht zugetraut. Ein Schüler mit Behinderung wird von einer Aktivität ausgeschlossen, ohne überhaupt gefragt zu werden, was er kann.</w:t>
      </w:r>
    </w:p>
    <w:p>
      <w:pPr>
        <w:spacing w:after="140" w:line="259" w:lineRule="auto"/>
      </w:pPr>
      <w:r>
        <w:t>Dann wird aus einer Zuschreibung schnell eine Erwartung – und aus einer Erwartung möglicherweise eine Grenze.</w:t>
      </w:r>
    </w:p>
    <w:p>
      <w:pPr>
        <w:spacing w:after="140" w:line="259" w:lineRule="auto"/>
      </w:pPr>
      <w:r>
        <w:t xml:space="preserve">Diversitätssensible Bildung bedeutet deshalb nicht, Unterschiede zu ignorieren. Sie wahrzunehmen kann notwendig sein, um Unterstützung und Teilhabe zu ermöglichen. </w:t>
      </w:r>
      <w:r>
        <w:rPr>
          <w:b/>
        </w:rPr>
        <w:t>Aber ein Merkmal darf nicht zum Urteil über einen ganzen Menschen werden.</w:t>
      </w:r>
      <w:r/>
    </w:p>
    <w:p>
      <w:pPr>
        <w:pStyle w:val="Heading1"/>
        <w:spacing w:before="200" w:after="120"/>
      </w:pPr>
      <w:r>
        <w:t>Soziale Herkunft ist mehr als Zuwanderungsgeschichte</w:t>
      </w:r>
    </w:p>
    <w:p>
      <w:pPr>
        <w:spacing w:after="140" w:line="259" w:lineRule="auto"/>
      </w:pPr>
      <w:r>
        <w:t>Für die Bildungsdebatte ist eine Unterscheidung wichtig: Soziale Herkunft und Zuwanderungsgeschichte sind nicht dasselbe.</w:t>
      </w:r>
    </w:p>
    <w:p>
      <w:pPr>
        <w:spacing w:after="140" w:line="259" w:lineRule="auto"/>
      </w:pPr>
      <w:r>
        <w:t>Bildungsabschluss und finanzielle Möglichkeiten der Eltern, Kenntnisse des Schulsystems, Lernmöglichkeiten zu Hause und die dort gesprochenen Sprachen sind unterschiedliche Faktoren. Sie können zusammenkommen – müssen es aber nicht.</w:t>
      </w:r>
    </w:p>
    <w:p>
      <w:pPr>
        <w:spacing w:after="140" w:line="259" w:lineRule="auto"/>
      </w:pPr>
      <w:r>
        <w:t>Ein Kind mit Zuwanderungsgeschichte kann in einer akademisch geprägten und finanziell gut ausgestatteten Familie aufwachsen. Ein Kind ohne Zuwanderungsgeschichte kann unter schwierigen sozialen Bedingungen leben.</w:t>
      </w:r>
    </w:p>
    <w:p>
      <w:pPr>
        <w:spacing w:after="140" w:line="259" w:lineRule="auto"/>
      </w:pPr>
      <w:r>
        <w:t xml:space="preserve">Diversität ernst zu nehmen bedeutet deshalb auch, Menschen </w:t>
      </w:r>
      <w:r>
        <w:rPr>
          <w:b/>
        </w:rPr>
        <w:t>nicht vorschnell in Schubladen zu stecken</w:t>
      </w:r>
      <w:r>
        <w:t>.</w:t>
      </w:r>
    </w:p>
    <w:p>
      <w:pPr>
        <w:pStyle w:val="Heading1"/>
        <w:spacing w:before="200" w:after="120"/>
      </w:pPr>
      <w:r>
        <w:t>Zugehörigkeit ist keine Nebensache</w:t>
      </w:r>
    </w:p>
    <w:p>
      <w:pPr>
        <w:spacing w:after="140" w:line="259" w:lineRule="auto"/>
      </w:pPr>
      <w:r>
        <w:t>Schule besteht aus mehr als Unterricht, Noten und Testergebnissen. Sie ist ein zentraler sozialer Lebensraum.</w:t>
      </w:r>
    </w:p>
    <w:p>
      <w:pPr>
        <w:spacing w:after="140" w:line="259" w:lineRule="auto"/>
      </w:pPr>
      <w:r>
        <w:t xml:space="preserve">Nach PISA 2025 geben in Deutschland </w:t>
      </w:r>
      <w:r>
        <w:rPr>
          <w:b/>
        </w:rPr>
        <w:t>76 Prozent</w:t>
      </w:r>
      <w:r>
        <w:t xml:space="preserve"> der Jugendlichen an, sich ihrer Schule zugehörig zu fühlen. </w:t>
      </w:r>
      <w:r>
        <w:rPr>
          <w:b/>
        </w:rPr>
        <w:t>80 Prozent</w:t>
      </w:r>
      <w:r>
        <w:t xml:space="preserve"> sagen, dass sie in der Schule leicht Freundschaften schließen.</w:t>
      </w:r>
    </w:p>
    <w:p>
      <w:pPr>
        <w:spacing w:after="140" w:line="259" w:lineRule="auto"/>
      </w:pPr>
      <w:r>
        <w:t>Solche Erfahrungen sind für den Schulalltag bedeutsam. Wer sich akzeptiert und ernst genommen fühlt, erlebt Schule anders als jemand, der wegen seiner Sprache, seines Körpers, seiner Kleidung, seiner Religion, seiner sexuellen Orientierung oder seiner sozialen Herkunft ausgegrenzt wird.</w:t>
      </w:r>
    </w:p>
    <w:p>
      <w:pPr>
        <w:spacing w:after="140" w:line="259" w:lineRule="auto"/>
      </w:pPr>
      <w:r>
        <w:t>Eine Schule, die Diversität ernst nimmt, senkt deshalb nicht ihre Anforderungen. Sie versucht, vermeidbare Hindernisse zu beseitigen, damit möglichst viele Schülerinnen und Schüler ihre Fähigkeiten entwickeln können.</w:t>
      </w:r>
    </w:p>
    <w:p>
      <w:pPr>
        <w:pStyle w:val="Heading1"/>
        <w:spacing w:before="200" w:after="120"/>
      </w:pPr>
      <w:r>
        <w:t>Vielfalt braucht faire Chancen</w:t>
      </w:r>
    </w:p>
    <w:p>
      <w:pPr>
        <w:spacing w:after="140" w:line="259" w:lineRule="auto"/>
      </w:pPr>
      <w:r>
        <w:t>PISA kann nicht vorhersagen, welchen Weg ein einzelnes Kind nehmen wird. Statistiken erzählen keine Biografien.</w:t>
      </w:r>
    </w:p>
    <w:p>
      <w:pPr>
        <w:spacing w:after="140" w:line="259" w:lineRule="auto"/>
      </w:pPr>
      <w:r>
        <w:t>Aber sie können sichtbar machen, wenn Chancen systematisch ungleich verteilt sind.</w:t>
      </w:r>
    </w:p>
    <w:p>
      <w:pPr>
        <w:spacing w:after="140" w:line="259" w:lineRule="auto"/>
      </w:pPr>
      <w:r>
        <w:t>Kinder bringen ihre Unterschiede mit in die Schule: ihre Familiengeschichten und Sprachen, ihre Begabungen und Unsicherheiten, ihre körperlichen Voraussetzungen, Überzeugungen und Erfahrungen. Diese Vielfalt lässt sich nicht abschaffen – und sie sollte auch nicht abgeschafft werden.</w:t>
      </w:r>
    </w:p>
    <w:p>
      <w:pPr>
        <w:spacing w:after="140" w:line="259" w:lineRule="auto"/>
      </w:pPr>
      <w:r>
        <w:t xml:space="preserve">Die Aufgabe besteht darin, </w:t>
      </w:r>
      <w:r>
        <w:rPr>
          <w:b/>
        </w:rPr>
        <w:t>aus Verschiedenheit möglichst selten Benachteiligung werden zu lassen</w:t>
      </w:r>
      <w:r>
        <w:t>.</w:t>
      </w:r>
    </w:p>
    <w:p>
      <w:pPr>
        <w:spacing w:after="140" w:line="259" w:lineRule="auto"/>
      </w:pPr>
      <w:r>
        <w:t>Eine faire Schule verspricht nicht jedem Kind das gleiche Ergebnis.</w:t>
      </w:r>
    </w:p>
    <w:p>
      <w:pPr>
        <w:spacing w:after="140" w:line="259" w:lineRule="auto"/>
      </w:pPr>
      <w:r/>
      <w:r>
        <w:rPr>
          <w:b/>
        </w:rPr>
        <w:t>Sie sollte aber jedem Kind eine möglichst gute Chance geben, zu zeigen, was in ihm steckt.</w:t>
      </w:r>
      <w:r/>
    </w:p>
    <w:p>
      <w:pPr>
        <w:pStyle w:val="Heading1"/>
        <w:spacing w:before="240" w:after="120"/>
      </w:pPr>
      <w:r>
        <w:t>Quellen und weiterführende Literatur</w:t>
      </w:r>
    </w:p>
    <w:p>
      <w:pPr>
        <w:spacing w:after="100"/>
      </w:pPr>
      <w:r>
        <w:rPr>
          <w:b/>
        </w:rPr>
        <w:t xml:space="preserve">OECD (2026): PISA 2025 Results, Volume I – Germany. </w:t>
      </w:r>
      <w:r>
        <w:t>Ergebnisse zu naturwissenschaftlichen Leistungen, sozioökonomischem Status und schulischer Zugehörigkeit.</w:t>
      </w:r>
    </w:p>
    <w:p>
      <w:pPr>
        <w:spacing w:after="100"/>
      </w:pPr>
      <w:r>
        <w:rPr>
          <w:b/>
        </w:rPr>
        <w:t xml:space="preserve">Autor:innengruppe Bildungsberichterstattung (2026): Bildung in Deutschland 2026. </w:t>
      </w:r>
      <w:r>
        <w:t>Indikatorengestützter Bericht, insbesondere zu Bildungsungleichheiten nach sozialer Herkunft.</w:t>
      </w:r>
    </w:p>
    <w:p>
      <w:pPr>
        <w:spacing w:after="100"/>
      </w:pPr>
      <w:r>
        <w:rPr>
          <w:b/>
        </w:rPr>
        <w:t xml:space="preserve">UNESCO: Inclusion in Education. </w:t>
      </w:r>
      <w:r>
        <w:t>Grundlagen zu Diversität, Inklusion, Bildungsgerechtigkeit und Barrieren für schulische Teilhabe.</w:t>
      </w:r>
    </w:p>
    <w:p>
      <w:pPr>
        <w:spacing w:before="240"/>
      </w:pPr>
      <w:r>
        <w:rPr>
          <w:rFonts w:ascii="Arial" w:hAnsi="Arial"/>
          <w:b/>
          <w:sz w:val="20"/>
        </w:rPr>
        <w:t>Martin Joachim | MindContent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CSubtitle">
    <w:name w:val="MC Subtitle"/>
    <w:rPr>
      <w:rFonts w:ascii="Arial" w:hAnsi="Arial"/>
      <w: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