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Pr>
          <w:rFonts w:ascii="Arial" w:hAnsi="Arial"/>
          <w:b/>
          <w:color w:val="5A5A5A"/>
          <w:sz w:val="20"/>
        </w:rPr>
        <w:t>MINDCONTENT</w:t>
      </w:r>
    </w:p>
    <w:p>
      <w:pPr>
        <w:pStyle w:val="Title"/>
        <w:spacing w:after="100"/>
      </w:pPr>
      <w:r>
        <w:t>Die unsichtbare Grenze</w:t>
      </w:r>
    </w:p>
    <w:p>
      <w:pPr>
        <w:spacing w:after="300"/>
      </w:pPr>
      <w:r>
        <w:rPr>
          <w:rFonts w:ascii="Arial" w:hAnsi="Arial"/>
          <w:i/>
          <w:sz w:val="24"/>
        </w:rPr>
        <w:t>Ein Spruch, eine Beleidigung, eine Grenzverletzung: Eine neue große Schulstudie zeigt, dass Jugendliche und Erwachsene problematische Situationen nicht immer gleich wahrnehmen. Diese Unterschiede können Folgen haben.</w:t>
      </w:r>
    </w:p>
    <w:p>
      <w:pPr>
        <w:spacing w:after="140" w:line="259" w:lineRule="auto"/>
      </w:pPr>
      <w:r>
        <w:t>Ein Schüler macht eine Bemerkung über das Aussehen eines Mitschülers. Einige lachen. Die Lehrkraft hört den Satz, entscheidet aber, den Unterricht nicht zu unterbrechen. Vielleicht war es nur ein dummer Spruch. Vielleicht wäre ein Eingreifen unverhältnismäßig.</w:t>
      </w:r>
    </w:p>
    <w:p>
      <w:pPr>
        <w:spacing w:after="140" w:line="259" w:lineRule="auto"/>
      </w:pPr>
      <w:r>
        <w:t>Für den betroffenen Jugendlichen kann derselbe Moment anders aussehen. Vielleicht ist es nicht der erste Spruch über sein Aussehen. Oder über seine Herkunft, seine Religion, seine Behinderung, sein Geschlecht.</w:t>
      </w:r>
    </w:p>
    <w:p>
      <w:pPr>
        <w:spacing w:after="140" w:line="259" w:lineRule="auto"/>
      </w:pPr>
      <w:r>
        <w:t>Was für andere eine beiläufige Bemerkung ist, kann sich für ihn in eine Reihe ähnlicher Erfahrungen einfügen.</w:t>
      </w:r>
    </w:p>
    <w:p>
      <w:pPr>
        <w:spacing w:after="140" w:line="259" w:lineRule="auto"/>
      </w:pPr>
      <w:r/>
      <w:r>
        <w:rPr>
          <w:b/>
        </w:rPr>
        <w:t>Wo endet der dumme Spruch – und wo beginnt Diskriminierung?</w:t>
      </w:r>
      <w:r/>
    </w:p>
    <w:p>
      <w:pPr>
        <w:spacing w:after="140" w:line="259" w:lineRule="auto"/>
      </w:pPr>
      <w:r>
        <w:t>Eine neue große Untersuchung aus Berlin zeigt: Jugendliche und Erwachsene setzen die Grenze nicht immer an derselben Stelle.</w:t>
      </w:r>
    </w:p>
    <w:p>
      <w:pPr>
        <w:pStyle w:val="Heading1"/>
        <w:spacing w:before="200" w:after="120"/>
      </w:pPr>
      <w:r>
        <w:t>Grenzverletzungen gehören zum Schulalltag</w:t>
      </w:r>
    </w:p>
    <w:p>
      <w:pPr>
        <w:spacing w:after="140" w:line="259" w:lineRule="auto"/>
      </w:pPr>
      <w:r>
        <w:t>Für das Berliner Konflikt- und Gewaltbarometer 2026 wurden mehr als 14.000 Schülerinnen und Schüler sowie über 2.500 Lehrkräfte und pädagogische Mitarbeitende befragt. Untersucht wurden Konflikte, Gewalt, Diskriminierung und sozialer beziehungsweise religiöser Konformitätsdruck an Schulen.</w:t>
      </w:r>
    </w:p>
    <w:p>
      <w:pPr>
        <w:spacing w:after="140" w:line="259" w:lineRule="auto"/>
      </w:pPr>
      <w:r>
        <w:t>Die Ergebnisse zeigen zunächst, wie häufig Schülerinnen und Schüler mit Herabsetzung, Beleidigungen oder Ausgrenzung konfrontiert werden.</w:t>
      </w:r>
    </w:p>
    <w:p>
      <w:pPr>
        <w:spacing w:after="140" w:line="259" w:lineRule="auto"/>
      </w:pPr>
      <w:r>
        <w:t>Doch nicht jede Beleidigung ist Diskriminierung. Nicht jeder Streit ist Mobbing. Und nicht jeder Konflikt entsteht aufgrund der Herkunft, des Geschlechts, einer Behinderung, der Religion oder der sexuellen beziehungsweise geschlechtlichen Identität eines Menschen.</w:t>
      </w:r>
    </w:p>
    <w:p>
      <w:pPr>
        <w:spacing w:after="140" w:line="259" w:lineRule="auto"/>
      </w:pPr>
      <w:r>
        <w:t>Gerade diese Unterscheidung ist wichtig.</w:t>
      </w:r>
    </w:p>
    <w:p>
      <w:pPr>
        <w:spacing w:after="140" w:line="259" w:lineRule="auto"/>
      </w:pPr>
      <w:r>
        <w:t>Diskriminierung entsteht dort, wo Menschen aufgrund tatsächlicher oder zugeschriebener Merkmale benachteiligt, ausgegrenzt oder herabgesetzt werden.</w:t>
      </w:r>
    </w:p>
    <w:p>
      <w:pPr>
        <w:pStyle w:val="Heading1"/>
        <w:spacing w:before="200" w:after="120"/>
      </w:pPr>
      <w:r>
        <w:t>Zwei Perspektiven auf dieselbe Situation</w:t>
      </w:r>
    </w:p>
    <w:p>
      <w:pPr>
        <w:spacing w:after="140" w:line="259" w:lineRule="auto"/>
      </w:pPr>
      <w:r>
        <w:t>Ein bemerkenswerter Befund des Berliner Barometers betrifft die Wahrnehmung solcher Situationen.</w:t>
      </w:r>
    </w:p>
    <w:p>
      <w:pPr>
        <w:spacing w:after="140" w:line="259" w:lineRule="auto"/>
      </w:pPr>
      <w:r>
        <w:t>Schülerinnen und Schüler und pädagogisches Personal beurteilen bestimmte Vorfälle nicht immer gleich. Was Erwachsene möglicherweise als weniger schwerwiegend einschätzen, kann von Jugendlichen als deutliche Grenzverletzung erlebt werden.</w:t>
      </w:r>
    </w:p>
    <w:p>
      <w:pPr>
        <w:spacing w:after="140" w:line="259" w:lineRule="auto"/>
      </w:pPr>
      <w:r>
        <w:t>Das bedeutet nicht, dass Lehrkräfte Diskriminierung bewusst ignorieren.</w:t>
      </w:r>
    </w:p>
    <w:p>
      <w:pPr>
        <w:spacing w:after="140" w:line="259" w:lineRule="auto"/>
      </w:pPr>
      <w:r>
        <w:t>Schule ist ein komplexer sozialer Raum. Lehrkräfte müssen täglich entscheiden, wann ein Konflikt Eingreifen erfordert, wann Jugendliche ihn selbst lösen können und wann aus einer Bemerkung eine ernsthafte Grenzüberschreitung wird. Gleichzeitig sind Lehrkräfte und pädagogische Mitarbeitende selbst erheblichen Belastungen durch Konflikte und Gewalt ausgesetzt.</w:t>
      </w:r>
    </w:p>
    <w:p>
      <w:pPr>
        <w:spacing w:after="140" w:line="259" w:lineRule="auto"/>
      </w:pPr>
      <w:r>
        <w:t>Gerade deshalb ist der Unterschied in der Wahrnehmung bedeutsam.</w:t>
      </w:r>
    </w:p>
    <w:p>
      <w:pPr>
        <w:spacing w:after="140" w:line="259" w:lineRule="auto"/>
      </w:pPr>
      <w:r/>
      <w:r>
        <w:rPr>
          <w:b/>
        </w:rPr>
        <w:t>Absicht und Wirkung sind nicht immer dasselbe.</w:t>
      </w:r>
      <w:r/>
    </w:p>
    <w:p>
      <w:pPr>
        <w:pStyle w:val="Heading1"/>
        <w:spacing w:before="200" w:after="120"/>
      </w:pPr>
      <w:r>
        <w:t>Minderheiten verschwinden leicht in der Statistik</w:t>
      </w:r>
    </w:p>
    <w:p>
      <w:pPr>
        <w:spacing w:after="140" w:line="259" w:lineRule="auto"/>
      </w:pPr>
      <w:r>
        <w:t>Auch Prozentzahlen können ein unvollständiges Bild vermitteln.</w:t>
      </w:r>
    </w:p>
    <w:p>
      <w:pPr>
        <w:spacing w:after="140" w:line="259" w:lineRule="auto"/>
      </w:pPr>
      <w:r>
        <w:t>Wenn nur ein kleiner Teil einer Schülerschaft einer bestimmten Minderheit angehört, kann deren Diskriminierung in der Gesamtstatistik gering erscheinen. Für die Betroffenen selbst kann sie dennoch den Schulalltag prägen.</w:t>
      </w:r>
    </w:p>
    <w:p>
      <w:pPr>
        <w:spacing w:after="140" w:line="259" w:lineRule="auto"/>
      </w:pPr>
      <w:r>
        <w:t>Das Berliner Barometer zeigt solche Unterschiede beispielsweise bei geschlechtlich diversen Jugendlichen. Innerhalb dieser Gruppe werden Erfahrungen mit Konformitätsdruck deutlich häufiger berichtet als in der Gesamtheit der Schülerinnen und Schüler.</w:t>
      </w:r>
    </w:p>
    <w:p>
      <w:pPr>
        <w:spacing w:after="140" w:line="259" w:lineRule="auto"/>
      </w:pPr>
      <w:r>
        <w:t>Der Blick auf Durchschnittswerte allein reicht deshalb nicht immer aus. Entscheidend ist auch, wer von einer Erfahrung betroffen ist und wie häufig sie innerhalb dieser Gruppe vorkommt.</w:t>
      </w:r>
    </w:p>
    <w:p>
      <w:pPr>
        <w:pStyle w:val="Heading1"/>
        <w:spacing w:before="200" w:after="120"/>
      </w:pPr>
      <w:r>
        <w:t>Diskriminierung hat verschiedene Gesichter</w:t>
      </w:r>
    </w:p>
    <w:p>
      <w:pPr>
        <w:spacing w:after="140" w:line="259" w:lineRule="auto"/>
      </w:pPr>
      <w:r>
        <w:t>Offene Herabsetzung ist vergleichsweise leicht zu erkennen. Schwieriger sind Situationen, in denen niemand ausdrücklich beleidigt wird.</w:t>
      </w:r>
    </w:p>
    <w:p>
      <w:pPr>
        <w:spacing w:after="140" w:line="259" w:lineRule="auto"/>
      </w:pPr>
      <w:r>
        <w:t>Einem Schüler wird aufgrund seiner Herkunft weniger zugetraut. Eine Schülerin wird bei einer technischen Aufgabe übergangen. Ein Jugendlicher mit Behinderung wird von einer Aktivität ausgeschlossen, weil man ihm die Teilnahme nicht zutraut. Über die sexuelle Orientierung eines Mitschülers werden regelmäßig Witze gemacht.</w:t>
      </w:r>
    </w:p>
    <w:p>
      <w:pPr>
        <w:spacing w:after="140" w:line="259" w:lineRule="auto"/>
      </w:pPr>
      <w:r>
        <w:t>Manches geschieht absichtlich. Manches aus Gedankenlosigkeit. Anderes entsteht aus Erwartungen und Routinen, die kaum noch hinterfragt werden.</w:t>
      </w:r>
    </w:p>
    <w:p>
      <w:pPr>
        <w:spacing w:after="140" w:line="259" w:lineRule="auto"/>
      </w:pPr>
      <w:r>
        <w:t>Deshalb lässt sich Diskriminierung nicht ausschließlich an der Absicht eines Einzelnen festmachen.</w:t>
      </w:r>
    </w:p>
    <w:p>
      <w:pPr>
        <w:spacing w:after="140" w:line="259" w:lineRule="auto"/>
      </w:pPr>
      <w:r>
        <w:t>Entscheidend ist auch, ob Menschen aufgrund bestimmter Merkmale schlechtere Möglichkeiten erhalten, ausgeschlossen oder herabgesetzt werden.</w:t>
      </w:r>
    </w:p>
    <w:p>
      <w:pPr>
        <w:pStyle w:val="Heading1"/>
        <w:spacing w:before="200" w:after="120"/>
      </w:pPr>
      <w:r>
        <w:t>Erfahrungen mit Folgen</w:t>
      </w:r>
    </w:p>
    <w:p>
      <w:pPr>
        <w:spacing w:after="140" w:line="259" w:lineRule="auto"/>
      </w:pPr>
      <w:r>
        <w:t>Dass ein diskriminierendes Schulklima mit mehr als einem unangenehmen Augenblick verbunden sein kann, zeigt die Bildungsforschung.</w:t>
      </w:r>
    </w:p>
    <w:p>
      <w:pPr>
        <w:spacing w:after="140" w:line="259" w:lineRule="auto"/>
      </w:pPr>
      <w:r>
        <w:t>Eine 2025 veröffentlichte Untersuchung mit Daten von 2.947 Jugendlichen in Deutschland fand einen Zusammenhang zwischen einem stärker wahrgenommenen diskriminierenden Schulklima und geringerem Leseverständnis, geringerer Lesemotivation sowie einem schwächeren Zugehörigkeitsgefühl zur Schule.</w:t>
      </w:r>
    </w:p>
    <w:p>
      <w:pPr>
        <w:spacing w:after="140" w:line="259" w:lineRule="auto"/>
      </w:pPr>
      <w:r>
        <w:t>Eine weitere, 2026 veröffentlichte Studie untersuchte 4.087 Neuntklässlerinnen und Neuntklässler aus ethnisch minorisierten Gruppen in Deutschland. Dabei zeigte sich, dass Diskriminierungserfahrungen innerhalb dieser Gruppen unterschiedlich verteilt sind. Jugendliche mit familiären Bezügen zur Türkei oder zu arabischsprachigen Ländern berichteten häufiger von ethnischer Diskriminierung als andere untersuchte Gruppen.</w:t>
      </w:r>
    </w:p>
    <w:p>
      <w:pPr>
        <w:spacing w:after="140" w:line="259" w:lineRule="auto"/>
      </w:pPr>
      <w:r>
        <w:t>Solche Ergebnisse müssen sorgfältig interpretiert werden. Ein statistischer Zusammenhang beweist nicht, dass eine einzelne Diskriminierungserfahrung unmittelbar eine schlechtere Schulleistung verursacht.</w:t>
      </w:r>
    </w:p>
    <w:p>
      <w:pPr>
        <w:spacing w:after="140" w:line="259" w:lineRule="auto"/>
      </w:pPr>
      <w:r/>
      <w:r>
        <w:rPr>
          <w:b/>
        </w:rPr>
        <w:t>Die Forschung zeigt aber: Ein diskriminierendes Schulklima hängt mit Lernen, Motivation und Zugehörigkeitsgefühl zusammen.</w:t>
      </w:r>
      <w:r/>
    </w:p>
    <w:p>
      <w:pPr>
        <w:pStyle w:val="Heading1"/>
        <w:spacing w:before="200" w:after="120"/>
      </w:pPr>
      <w:r>
        <w:t>Wahrnehmen, bevor man bewertet</w:t>
      </w:r>
    </w:p>
    <w:p>
      <w:pPr>
        <w:spacing w:after="140" w:line="259" w:lineRule="auto"/>
      </w:pPr>
      <w:r>
        <w:t>Antidiskriminierung bedeutet nicht, hinter jedem Konflikt Diskriminierung zu vermuten.</w:t>
      </w:r>
    </w:p>
    <w:p>
      <w:pPr>
        <w:spacing w:after="140" w:line="259" w:lineRule="auto"/>
      </w:pPr>
      <w:r>
        <w:t>Ebenso wenig entscheidet allein das Empfinden eines Beteiligten darüber, wie ein Vorfall einzuordnen ist. Aber dieses Empfinden gehört zur Beurteilung der Situation.</w:t>
      </w:r>
    </w:p>
    <w:p>
      <w:pPr>
        <w:spacing w:after="140" w:line="259" w:lineRule="auto"/>
      </w:pPr>
      <w:r>
        <w:t>Hilfreicher als vorschnelles Abwiegeln oder vorschnelle Verurteilung ist deshalb eine genaue Betrachtung: Spielt bei dem Konflikt ein persönliches Merkmal eine Rolle? Handelt es sich um einen einzelnen Vorfall oder um ein wiederkehrendes Muster?</w:t>
      </w:r>
    </w:p>
    <w:p>
      <w:pPr>
        <w:spacing w:after="140" w:line="259" w:lineRule="auto"/>
      </w:pPr>
      <w:r>
        <w:t>Damit verändert sich auch die Aufgabe der Schule.</w:t>
      </w:r>
    </w:p>
    <w:p>
      <w:pPr>
        <w:spacing w:after="140" w:line="259" w:lineRule="auto"/>
      </w:pPr>
      <w:r>
        <w:t>Es geht nicht darum, jede unbedachte Bemerkung zum großen gesellschaftlichen Konflikt zu erklären. Es geht darum, genauer hinzusehen, wenn aus einer Bemerkung Herabsetzung und aus wiederholter Herabsetzung Ausgrenzung wird.</w:t>
      </w:r>
    </w:p>
    <w:p>
      <w:pPr>
        <w:pStyle w:val="Heading1"/>
        <w:spacing w:before="200" w:after="120"/>
      </w:pPr>
      <w:r>
        <w:t>Grenzen erkennen und ernst nehmen</w:t>
      </w:r>
    </w:p>
    <w:p>
      <w:pPr>
        <w:spacing w:after="140" w:line="259" w:lineRule="auto"/>
      </w:pPr>
      <w:r>
        <w:t>Schule kann nicht verhindern, dass Jugendliche streiten, provozieren, Grenzen austesten oder sich gegenseitig verletzen.</w:t>
      </w:r>
    </w:p>
    <w:p>
      <w:pPr>
        <w:spacing w:after="140" w:line="259" w:lineRule="auto"/>
      </w:pPr>
      <w:r>
        <w:t>Sie kann aber beeinflussen, wie damit umgegangen wird.</w:t>
      </w:r>
    </w:p>
    <w:p>
      <w:pPr>
        <w:spacing w:after="140" w:line="259" w:lineRule="auto"/>
      </w:pPr>
      <w:r>
        <w:t>Dazu gehört, Diskriminierung erkennen zu können, ohne jeden Konflikt zur Diskriminierung zu erklären. Betroffenen zuzuhören, ohne Ergebnisse vorwegzunehmen. Einzugreifen, wenn Grenzen überschritten werden. Und eigene Erwartungen gegenüber Schülerinnen und Schülern immer wieder zu überprüfen.</w:t>
      </w:r>
    </w:p>
    <w:p>
      <w:pPr>
        <w:spacing w:after="140" w:line="259" w:lineRule="auto"/>
      </w:pPr>
      <w:r>
        <w:t>Eine der wichtigsten Erkenntnisse der aktuellen Forschung ist dabei erstaunlich einfach:</w:t>
      </w:r>
    </w:p>
    <w:p>
      <w:pPr>
        <w:spacing w:after="140" w:line="259" w:lineRule="auto"/>
      </w:pPr>
      <w:r/>
      <w:r>
        <w:rPr>
          <w:b/>
        </w:rPr>
        <w:t>Nicht alle erleben dieselbe Schule auf dieselbe Weise.</w:t>
      </w:r>
      <w:r/>
    </w:p>
    <w:p>
      <w:pPr>
        <w:spacing w:after="140" w:line="259" w:lineRule="auto"/>
      </w:pPr>
      <w:r>
        <w:t>Antidiskriminierung beginnt deshalb mit Aufmerksamkeit – für Unterschiede, für unterschiedliche Erfahrungen und für Grenzen, die nicht für jeden Menschen an derselben Stelle sichtbar werden.</w:t>
      </w:r>
    </w:p>
    <w:p>
      <w:pPr>
        <w:pStyle w:val="Heading1"/>
        <w:spacing w:before="200" w:after="120"/>
      </w:pPr>
      <w:r>
        <w:t>Quellen und weiterführende Literatur</w:t>
      </w:r>
    </w:p>
    <w:p>
      <w:pPr>
        <w:spacing w:after="120"/>
      </w:pPr>
      <w:r>
        <w:rPr>
          <w:b/>
        </w:rPr>
        <w:t>Berliner Senatsverwaltung für Bildung, Jugend und Familie (2026): Berliner Konflikt- und Gewaltbarometer.</w:t>
      </w:r>
      <w:r>
        <w:t xml:space="preserve"> Untersuchung zu Konflikten, Gewalt, Diskriminierung und Konformitätsdruck an Berliner Schulen.</w:t>
      </w:r>
    </w:p>
    <w:p>
      <w:pPr>
        <w:spacing w:after="120"/>
      </w:pPr>
      <w:r>
        <w:rPr>
          <w:b/>
        </w:rPr>
        <w:t>Heppt, Schwarzenthal &amp; Scharf (2025), Journal of Youth and Adolescence:</w:t>
      </w:r>
      <w:r>
        <w:t xml:space="preserve"> „Discriminatory Climate and School Adjustment in Ethnically Minoritized Adolescents and Majority Adolescents.“ Untersuchung auf Basis deutscher PISA-Daten zu diskriminierendem Schulklima, Leseverständnis, Lesemotivation und schulischer Zugehörigkeit.</w:t>
      </w:r>
    </w:p>
    <w:p>
      <w:pPr>
        <w:spacing w:after="120"/>
      </w:pPr>
      <w:r>
        <w:rPr>
          <w:b/>
        </w:rPr>
        <w:t>Journal of School Psychology (2026):</w:t>
      </w:r>
      <w:r>
        <w:t xml:space="preserve"> „Perceived discrimination of students from minoritized ethnic groups in Germany: Individual, family, and school conditions.“ Untersuchung von 4.087 Neuntklässlerinnen und Neuntklässlern aus ethnisch minorisierten Gruppen in Deutschland.</w:t>
      </w:r>
    </w:p>
    <w:p>
      <w:pPr>
        <w:spacing w:before="240"/>
      </w:pPr>
      <w:r>
        <w:rPr>
          <w:rFonts w:ascii="Arial" w:hAnsi="Arial"/>
          <w:b/>
          <w:sz w:val="20"/>
        </w:rPr>
        <w:t>Martin Joachim | MindContent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